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55.9912109375" w:line="240" w:lineRule="auto"/>
        <w:jc w:val="center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DECLARACIÓN CONTRA EL BLANQUEO DE CAPITALES </w:t>
      </w:r>
    </w:p>
    <w:p w:rsidR="00000000" w:rsidDel="00000000" w:rsidP="00000000" w:rsidRDefault="00000000" w:rsidRPr="00000000" w14:paraId="00000002">
      <w:pPr>
        <w:widowControl w:val="0"/>
        <w:spacing w:before="534.326171875" w:line="240" w:lineRule="auto"/>
        <w:ind w:right="78.369140625"/>
        <w:jc w:val="right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Madrid, XX de XXXXX de 2024.</w:t>
      </w:r>
    </w:p>
    <w:p w:rsidR="00000000" w:rsidDel="00000000" w:rsidP="00000000" w:rsidRDefault="00000000" w:rsidRPr="00000000" w14:paraId="00000003">
      <w:pPr>
        <w:widowControl w:val="0"/>
        <w:spacing w:before="270.3271484375" w:line="239.10316944122314" w:lineRule="auto"/>
        <w:ind w:left="6.623992919921875" w:right="32.65380859375" w:firstLine="11.0400390625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70.3271484375" w:line="239.10316944122314" w:lineRule="auto"/>
        <w:ind w:left="6.623992919921875" w:right="32.65380859375" w:firstLine="11.0400390625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[EMPRESA] (en adelante LA EMPRESA), en su firme compromiso con la integridad, la transparencia y el cumplimiento normativo, establece la presente declaración contra el blanqueo de capitales, de conformidad con la Ley 10/2010, de 28 de abril de prevención de blanqueo de capitales y financiación del terrorismo y del Real Decreto-ley 7/2021, de 27 de abril, de  transposición de directivas de la Unión Europea en las materias de competencia, prevención del blanqueo de capitales, entidades de crédito, telecomunicaciones, medidas tributarias, prevención y reparación de daños medioambientales, desplazamiento de trabajadores en la prestación de servicios transnacionales y defensa  de los consumidores. </w:t>
      </w:r>
    </w:p>
    <w:p w:rsidR="00000000" w:rsidDel="00000000" w:rsidP="00000000" w:rsidRDefault="00000000" w:rsidRPr="00000000" w14:paraId="00000005">
      <w:pPr>
        <w:widowControl w:val="0"/>
        <w:spacing w:before="270.3271484375" w:line="239.10316944122314" w:lineRule="auto"/>
        <w:ind w:left="6.623992919921875" w:right="32.65380859375" w:firstLine="11.0400390625"/>
        <w:jc w:val="both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1. Identificación y Evaluación de Riesgos</w:t>
      </w:r>
    </w:p>
    <w:p w:rsidR="00000000" w:rsidDel="00000000" w:rsidP="00000000" w:rsidRDefault="00000000" w:rsidRPr="00000000" w14:paraId="00000006">
      <w:pPr>
        <w:widowControl w:val="0"/>
        <w:spacing w:before="270.325927734375" w:line="239.0346336364746" w:lineRule="auto"/>
        <w:ind w:left="6.623992919921875" w:right="36.8310546875" w:firstLine="11.0400390625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LA EMPRESA se compromete a realizar evaluaciones periódicas de riesgos relacionados con el blanqueo de capitales, identificando y analizando posibles amenazas en las operaciones comerciales. Esta evaluación se utilizará para ajustar y fortalecer los procedimientos internos de prevención. </w:t>
      </w:r>
    </w:p>
    <w:p w:rsidR="00000000" w:rsidDel="00000000" w:rsidP="00000000" w:rsidRDefault="00000000" w:rsidRPr="00000000" w14:paraId="00000007">
      <w:pPr>
        <w:widowControl w:val="0"/>
        <w:spacing w:before="271.61376953125" w:line="240" w:lineRule="auto"/>
        <w:ind w:left="0" w:firstLine="0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2. Políticas y Procedimientos Internos</w:t>
      </w:r>
    </w:p>
    <w:p w:rsidR="00000000" w:rsidDel="00000000" w:rsidP="00000000" w:rsidRDefault="00000000" w:rsidRPr="00000000" w14:paraId="00000008">
      <w:pPr>
        <w:widowControl w:val="0"/>
        <w:spacing w:before="270.325927734375" w:line="239.0346336364746" w:lineRule="auto"/>
        <w:ind w:left="4.416046142578125" w:right="36.31591796875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La empresa establecerá y mantendrá políticas y procedimientos internos efectivos que  aborden específicamente la prevención del blanqueo de capitales. Estos incluirán  procesos claros para la debida diligencia en las transacciones, identificación y verificación de clientes, y reporte de actividades sospechosas. </w:t>
      </w:r>
    </w:p>
    <w:p w:rsidR="00000000" w:rsidDel="00000000" w:rsidP="00000000" w:rsidRDefault="00000000" w:rsidRPr="00000000" w14:paraId="00000009">
      <w:pPr>
        <w:widowControl w:val="0"/>
        <w:spacing w:before="271.2139892578125" w:line="240" w:lineRule="auto"/>
        <w:ind w:left="0" w:firstLine="0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3. Formación y Concienciación</w:t>
      </w:r>
    </w:p>
    <w:p w:rsidR="00000000" w:rsidDel="00000000" w:rsidP="00000000" w:rsidRDefault="00000000" w:rsidRPr="00000000" w14:paraId="0000000A">
      <w:pPr>
        <w:widowControl w:val="0"/>
        <w:spacing w:before="271.2139892578125" w:line="240" w:lineRule="auto"/>
        <w:ind w:left="0" w:firstLine="0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LA EMPRESA se compromete a proporcionar formación periódica a sus empleados,  asegurando una comprensión sólida de las prácticas y riesgos relacionados con el  blanqueo de capitales. Esto incluirá la identificación de señales de alerta y la importancia  de cumplir con las políticas establecidas. </w:t>
      </w:r>
    </w:p>
    <w:p w:rsidR="00000000" w:rsidDel="00000000" w:rsidP="00000000" w:rsidRDefault="00000000" w:rsidRPr="00000000" w14:paraId="0000000B">
      <w:pPr>
        <w:widowControl w:val="0"/>
        <w:spacing w:before="271.81427001953125" w:line="240" w:lineRule="auto"/>
        <w:ind w:left="0" w:firstLine="0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71.81427001953125" w:line="240" w:lineRule="auto"/>
        <w:ind w:left="0" w:firstLine="0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4. Colaboración con Autoridades y Partes Interesadas</w:t>
      </w:r>
    </w:p>
    <w:p w:rsidR="00000000" w:rsidDel="00000000" w:rsidP="00000000" w:rsidRDefault="00000000" w:rsidRPr="00000000" w14:paraId="0000000D">
      <w:pPr>
        <w:widowControl w:val="0"/>
        <w:spacing w:before="270.32684326171875" w:line="239.0348768234253" w:lineRule="auto"/>
        <w:ind w:left="8.1695556640625" w:right="39.527587890625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LA EMPRESA colaborará activamente con las autoridades competentes y otras partes  interesadas en la lucha contra el blanqueo de capitales. Esto implica la pronta  comunicación de cualquier actividad sospechosa y la disposición a participar en  investigaciones, según sea necesario. </w:t>
      </w:r>
    </w:p>
    <w:p w:rsidR="00000000" w:rsidDel="00000000" w:rsidP="00000000" w:rsidRDefault="00000000" w:rsidRPr="00000000" w14:paraId="0000000E">
      <w:pPr>
        <w:widowControl w:val="0"/>
        <w:spacing w:before="271.2144470214844" w:line="240" w:lineRule="auto"/>
        <w:ind w:left="0" w:firstLine="0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5. Revisión Continua y Mejora</w:t>
      </w:r>
    </w:p>
    <w:p w:rsidR="00000000" w:rsidDel="00000000" w:rsidP="00000000" w:rsidRDefault="00000000" w:rsidRPr="00000000" w14:paraId="0000000F">
      <w:pPr>
        <w:widowControl w:val="0"/>
        <w:spacing w:before="271.2144470214844" w:line="240" w:lineRule="auto"/>
        <w:ind w:left="0" w:firstLine="0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LA EMPRESA se compromete a realizar revisiones periódicas de sus políticas y  procedimientos, ajustándolos de acuerdo con los cambios en la legislación, la tecnología  y la naturaleza de las amenazas asociadas al blanqueo de capitales. Esta revisión  garantizará la eficacia continua de las medidas de prevención. </w:t>
      </w:r>
    </w:p>
    <w:p w:rsidR="00000000" w:rsidDel="00000000" w:rsidP="00000000" w:rsidRDefault="00000000" w:rsidRPr="00000000" w14:paraId="00000010">
      <w:pPr>
        <w:widowControl w:val="0"/>
        <w:spacing w:before="271.214599609375" w:line="240" w:lineRule="auto"/>
        <w:ind w:left="0" w:firstLine="0"/>
        <w:rPr>
          <w:rFonts w:ascii="Alegreya Sans" w:cs="Alegreya Sans" w:eastAsia="Alegreya Sans" w:hAnsi="Alegreya Sans"/>
          <w:b w:val="1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sz w:val="24"/>
          <w:szCs w:val="24"/>
          <w:rtl w:val="0"/>
        </w:rPr>
        <w:t xml:space="preserve">6. Registros Precisos y Mantenimiento de Documentación</w:t>
      </w:r>
    </w:p>
    <w:p w:rsidR="00000000" w:rsidDel="00000000" w:rsidP="00000000" w:rsidRDefault="00000000" w:rsidRPr="00000000" w14:paraId="00000011">
      <w:pPr>
        <w:widowControl w:val="0"/>
        <w:spacing w:before="270.3271484375" w:line="239.03549194335938" w:lineRule="auto"/>
        <w:ind w:left="8.169708251953125" w:right="31.91650390625" w:hanging="8.1695556640625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LA EMPRESA mantendrá registros precisos y actualizados de todas las transacciones y  actividades susceptibles a medidas de prevención del blanqueo de capitales, asegurando  la disponibilidad de información relevante en cualquier momento que sea requerida por las autoridades competentes. </w:t>
      </w:r>
    </w:p>
    <w:p w:rsidR="00000000" w:rsidDel="00000000" w:rsidP="00000000" w:rsidRDefault="00000000" w:rsidRPr="00000000" w14:paraId="00000012">
      <w:pPr>
        <w:widowControl w:val="0"/>
        <w:spacing w:before="271.81396484375" w:line="239.03549194335938" w:lineRule="auto"/>
        <w:ind w:left="8.170318603515625" w:right="36.82861328125" w:firstLine="0"/>
        <w:jc w:val="both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Esta declaración refleja el compromiso inquebrantable de LA EMPRESA con la ética empresarial y la contribución activa a la prevención y erradicación del blanqueo de capitales. Nos comprometemos a cumplir con los más altos estándares de  cumplimiento y a revisar y mejorar continuamente nuestras prácticas en esta área. </w:t>
      </w:r>
    </w:p>
    <w:p w:rsidR="00000000" w:rsidDel="00000000" w:rsidP="00000000" w:rsidRDefault="00000000" w:rsidRPr="00000000" w14:paraId="00000013">
      <w:pPr>
        <w:widowControl w:val="0"/>
        <w:spacing w:before="271.21337890625" w:line="240" w:lineRule="auto"/>
        <w:ind w:left="17.666015625" w:firstLine="0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71.21337890625" w:line="240" w:lineRule="auto"/>
        <w:ind w:left="0" w:firstLine="0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15">
      <w:pPr>
        <w:widowControl w:val="0"/>
        <w:spacing w:before="270.325927734375" w:line="240" w:lineRule="auto"/>
        <w:ind w:left="17.666015625" w:firstLine="0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Nombre: ____________________________</w:t>
      </w:r>
    </w:p>
    <w:p w:rsidR="00000000" w:rsidDel="00000000" w:rsidP="00000000" w:rsidRDefault="00000000" w:rsidRPr="00000000" w14:paraId="00000016">
      <w:pPr>
        <w:widowControl w:val="0"/>
        <w:spacing w:before="270.325927734375" w:line="240" w:lineRule="auto"/>
        <w:ind w:left="17.666015625" w:firstLine="0"/>
        <w:rPr>
          <w:rFonts w:ascii="Alegreya Sans" w:cs="Alegreya Sans" w:eastAsia="Alegreya Sans" w:hAnsi="Alegreya Sans"/>
          <w:sz w:val="24"/>
          <w:szCs w:val="24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Cargo: ____________________________</w:t>
      </w:r>
    </w:p>
    <w:p w:rsidR="00000000" w:rsidDel="00000000" w:rsidP="00000000" w:rsidRDefault="00000000" w:rsidRPr="00000000" w14:paraId="00000017">
      <w:pPr>
        <w:widowControl w:val="0"/>
        <w:spacing w:before="270.3271484375" w:line="239.10316944122314" w:lineRule="auto"/>
        <w:ind w:left="6.623992919921875" w:right="32.65380859375" w:firstLine="11.0400390625"/>
        <w:jc w:val="both"/>
        <w:rPr>
          <w:rFonts w:ascii="Alegreya Sans" w:cs="Alegreya Sans" w:eastAsia="Alegreya Sans" w:hAnsi="Alegreya Sans"/>
          <w:b w:val="1"/>
          <w:sz w:val="24"/>
          <w:szCs w:val="24"/>
          <w:u w:val="single"/>
        </w:rPr>
      </w:pPr>
      <w:r w:rsidDel="00000000" w:rsidR="00000000" w:rsidRPr="00000000">
        <w:rPr>
          <w:rFonts w:ascii="Alegreya Sans" w:cs="Alegreya Sans" w:eastAsia="Alegreya Sans" w:hAnsi="Alegreya Sans"/>
          <w:sz w:val="24"/>
          <w:szCs w:val="24"/>
          <w:rtl w:val="0"/>
        </w:rPr>
        <w:t xml:space="preserve">[EMPRESA]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700.7874015748032" w:top="3401.574803149606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legrey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Alegreya Sans" w:cs="Alegreya Sans" w:eastAsia="Alegreya Sans" w:hAnsi="Alegreya Sans"/>
        <w:sz w:val="20"/>
        <w:szCs w:val="20"/>
      </w:rPr>
    </w:pPr>
    <w:r w:rsidDel="00000000" w:rsidR="00000000" w:rsidRPr="00000000">
      <w:rPr>
        <w:rFonts w:ascii="Alegreya Sans" w:cs="Alegreya Sans" w:eastAsia="Alegreya Sans" w:hAnsi="Alegreya Sans"/>
        <w:sz w:val="20"/>
        <w:szCs w:val="20"/>
        <w:rtl w:val="0"/>
      </w:rPr>
      <w:t xml:space="preserve">ENERDEALERS, SL - Carretera de Fuencarral 44 28108 MADRID - SPAIN</w:t>
    </w:r>
  </w:p>
  <w:p w:rsidR="00000000" w:rsidDel="00000000" w:rsidP="00000000" w:rsidRDefault="00000000" w:rsidRPr="00000000" w14:paraId="0000001A">
    <w:pPr>
      <w:jc w:val="center"/>
      <w:rPr>
        <w:rFonts w:ascii="Alegreya Sans" w:cs="Alegreya Sans" w:eastAsia="Alegreya Sans" w:hAnsi="Alegreya Sans"/>
        <w:sz w:val="20"/>
        <w:szCs w:val="20"/>
      </w:rPr>
    </w:pPr>
    <w:r w:rsidDel="00000000" w:rsidR="00000000" w:rsidRPr="00000000">
      <w:rPr>
        <w:rFonts w:ascii="Alegreya Sans" w:cs="Alegreya Sans" w:eastAsia="Alegreya Sans" w:hAnsi="Alegreya Sans"/>
        <w:sz w:val="20"/>
        <w:szCs w:val="20"/>
        <w:rtl w:val="0"/>
      </w:rPr>
      <w:t xml:space="preserve">www.enerdealers.com · info@enerdealers.com</w:t>
    </w:r>
  </w:p>
  <w:p w:rsidR="00000000" w:rsidDel="00000000" w:rsidP="00000000" w:rsidRDefault="00000000" w:rsidRPr="00000000" w14:paraId="0000001B">
    <w:pPr>
      <w:jc w:val="center"/>
      <w:rPr>
        <w:rFonts w:ascii="Alegreya Sans" w:cs="Alegreya Sans" w:eastAsia="Alegreya Sans" w:hAnsi="Alegreya Sans"/>
        <w:sz w:val="20"/>
        <w:szCs w:val="20"/>
      </w:rPr>
    </w:pPr>
    <w:r w:rsidDel="00000000" w:rsidR="00000000" w:rsidRPr="00000000">
      <w:rPr>
        <w:rFonts w:ascii="Alegreya Sans" w:cs="Alegreya Sans" w:eastAsia="Alegreya Sans" w:hAnsi="Alegreya Sans"/>
        <w:sz w:val="20"/>
        <w:szCs w:val="20"/>
        <w:rtl w:val="0"/>
      </w:rPr>
      <w:t xml:space="preserve">Pg. </w:t>
    </w:r>
    <w:r w:rsidDel="00000000" w:rsidR="00000000" w:rsidRPr="00000000">
      <w:rPr>
        <w:rFonts w:ascii="Alegreya Sans" w:cs="Alegreya Sans" w:eastAsia="Alegreya Sans" w:hAnsi="Alegreya Sans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legreya Sans" w:cs="Alegreya Sans" w:eastAsia="Alegreya Sans" w:hAnsi="Alegreya Sans"/>
        <w:sz w:val="20"/>
        <w:szCs w:val="20"/>
        <w:rtl w:val="0"/>
      </w:rPr>
      <w:t xml:space="preserve"> of </w:t>
    </w:r>
    <w:r w:rsidDel="00000000" w:rsidR="00000000" w:rsidRPr="00000000">
      <w:rPr>
        <w:rFonts w:ascii="Alegreya Sans" w:cs="Alegreya Sans" w:eastAsia="Alegreya Sans" w:hAnsi="Alegreya Sans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-425.19685039370086" w:firstLine="0"/>
      <w:rPr/>
    </w:pPr>
    <w:r w:rsidDel="00000000" w:rsidR="00000000" w:rsidRPr="00000000">
      <w:rPr/>
      <w:drawing>
        <wp:inline distB="114300" distT="114300" distL="114300" distR="114300">
          <wp:extent cx="1920997" cy="10525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997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Sans-regular.ttf"/><Relationship Id="rId2" Type="http://schemas.openxmlformats.org/officeDocument/2006/relationships/font" Target="fonts/AlegreyaSans-bold.ttf"/><Relationship Id="rId3" Type="http://schemas.openxmlformats.org/officeDocument/2006/relationships/font" Target="fonts/AlegreyaSans-italic.ttf"/><Relationship Id="rId4" Type="http://schemas.openxmlformats.org/officeDocument/2006/relationships/font" Target="fonts/Alegreya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