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55.9912109375" w:line="240" w:lineRule="auto"/>
        <w:jc w:val="center"/>
        <w:rPr>
          <w:rFonts w:ascii="Alegreya Sans" w:cs="Alegreya Sans" w:eastAsia="Alegreya Sans" w:hAnsi="Alegreya Sans"/>
          <w:b w:val="1"/>
          <w:sz w:val="30"/>
          <w:szCs w:val="30"/>
        </w:rPr>
      </w:pPr>
      <w:r w:rsidDel="00000000" w:rsidR="00000000" w:rsidRPr="00000000">
        <w:rPr>
          <w:rFonts w:ascii="Alegreya Sans" w:cs="Alegreya Sans" w:eastAsia="Alegreya Sans" w:hAnsi="Alegreya Sans"/>
          <w:b w:val="1"/>
          <w:sz w:val="30"/>
          <w:szCs w:val="30"/>
          <w:rtl w:val="0"/>
        </w:rPr>
        <w:t xml:space="preserve">DECLARATION AGAINST MONEY LAUNDERING</w:t>
      </w:r>
      <w:r w:rsidDel="00000000" w:rsidR="00000000" w:rsidRPr="00000000">
        <w:rPr>
          <w:rtl w:val="0"/>
        </w:rPr>
      </w:r>
    </w:p>
    <w:p w:rsidR="00000000" w:rsidDel="00000000" w:rsidP="00000000" w:rsidRDefault="00000000" w:rsidRPr="00000000" w14:paraId="00000002">
      <w:pPr>
        <w:widowControl w:val="0"/>
        <w:spacing w:before="534.326171875" w:line="240" w:lineRule="auto"/>
        <w:ind w:right="78.369140625"/>
        <w:jc w:val="right"/>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Madrid, MONTH, DAYth, 2024.</w:t>
      </w:r>
    </w:p>
    <w:p w:rsidR="00000000" w:rsidDel="00000000" w:rsidP="00000000" w:rsidRDefault="00000000" w:rsidRPr="00000000" w14:paraId="00000003">
      <w:pPr>
        <w:widowControl w:val="0"/>
        <w:spacing w:before="270.3271484375" w:line="239.10316944122314" w:lineRule="auto"/>
        <w:ind w:left="6.623992919921875" w:right="32.65380859375" w:firstLine="11.0400390625"/>
        <w:jc w:val="both"/>
        <w:rPr>
          <w:rFonts w:ascii="Alegreya Sans" w:cs="Alegreya Sans" w:eastAsia="Alegreya Sans" w:hAnsi="Alegreya Sans"/>
          <w:sz w:val="24"/>
          <w:szCs w:val="24"/>
        </w:rPr>
      </w:pPr>
      <w:r w:rsidDel="00000000" w:rsidR="00000000" w:rsidRPr="00000000">
        <w:rPr>
          <w:rtl w:val="0"/>
        </w:rPr>
      </w:r>
    </w:p>
    <w:p w:rsidR="00000000" w:rsidDel="00000000" w:rsidP="00000000" w:rsidRDefault="00000000" w:rsidRPr="00000000" w14:paraId="00000004">
      <w:pPr>
        <w:widowControl w:val="0"/>
        <w:spacing w:before="271.2139892578125" w:line="240" w:lineRule="auto"/>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[COMPANY] (hereinafter THE COMPANY), in its firm commitment to integrity, transparency and regulatory compliance, establishes this declaration against money laundering, in accordance with Law 10/2010, of April 28, on prevention of money laundering and financing of terrorism and Royal Decree-Law 7/2021, of April 27, transposing European Union directives on competition, prevention of money laundering, credit institutions, telecommunications, measures tax regulations, prevention and repair of environmental damage, displacement of workers in the provision of transnational services and consumer protection.</w:t>
      </w:r>
    </w:p>
    <w:p w:rsidR="00000000" w:rsidDel="00000000" w:rsidP="00000000" w:rsidRDefault="00000000" w:rsidRPr="00000000" w14:paraId="00000005">
      <w:pPr>
        <w:widowControl w:val="0"/>
        <w:spacing w:before="271.2139892578125" w:line="240" w:lineRule="auto"/>
        <w:jc w:val="both"/>
        <w:rPr>
          <w:rFonts w:ascii="Alegreya Sans" w:cs="Alegreya Sans" w:eastAsia="Alegreya Sans" w:hAnsi="Alegreya Sans"/>
          <w:sz w:val="24"/>
          <w:szCs w:val="24"/>
        </w:rPr>
      </w:pPr>
      <w:r w:rsidDel="00000000" w:rsidR="00000000" w:rsidRPr="00000000">
        <w:rPr>
          <w:rtl w:val="0"/>
        </w:rPr>
      </w:r>
    </w:p>
    <w:p w:rsidR="00000000" w:rsidDel="00000000" w:rsidP="00000000" w:rsidRDefault="00000000" w:rsidRPr="00000000" w14:paraId="00000006">
      <w:pPr>
        <w:widowControl w:val="0"/>
        <w:spacing w:before="271.2139892578125" w:line="240" w:lineRule="auto"/>
        <w:jc w:val="both"/>
        <w:rPr>
          <w:rFonts w:ascii="Alegreya Sans" w:cs="Alegreya Sans" w:eastAsia="Alegreya Sans" w:hAnsi="Alegreya Sans"/>
          <w:b w:val="1"/>
          <w:sz w:val="24"/>
          <w:szCs w:val="24"/>
        </w:rPr>
      </w:pPr>
      <w:r w:rsidDel="00000000" w:rsidR="00000000" w:rsidRPr="00000000">
        <w:rPr>
          <w:rFonts w:ascii="Alegreya Sans" w:cs="Alegreya Sans" w:eastAsia="Alegreya Sans" w:hAnsi="Alegreya Sans"/>
          <w:b w:val="1"/>
          <w:sz w:val="24"/>
          <w:szCs w:val="24"/>
          <w:rtl w:val="0"/>
        </w:rPr>
        <w:t xml:space="preserve">1. Identification and Evaluation of Risks</w:t>
      </w:r>
    </w:p>
    <w:p w:rsidR="00000000" w:rsidDel="00000000" w:rsidP="00000000" w:rsidRDefault="00000000" w:rsidRPr="00000000" w14:paraId="00000007">
      <w:pPr>
        <w:widowControl w:val="0"/>
        <w:spacing w:before="271.2139892578125" w:line="240" w:lineRule="auto"/>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THE COMPANY undertakes to carry out periodic assessments of risks related to money laundering, identifying and analyzing possible threats in commercial operations. This evaluation will be used to adjust and strengthen internal prevention procedures.</w:t>
      </w:r>
    </w:p>
    <w:p w:rsidR="00000000" w:rsidDel="00000000" w:rsidP="00000000" w:rsidRDefault="00000000" w:rsidRPr="00000000" w14:paraId="00000008">
      <w:pPr>
        <w:widowControl w:val="0"/>
        <w:spacing w:before="271.2139892578125" w:line="240" w:lineRule="auto"/>
        <w:jc w:val="both"/>
        <w:rPr>
          <w:rFonts w:ascii="Alegreya Sans" w:cs="Alegreya Sans" w:eastAsia="Alegreya Sans" w:hAnsi="Alegreya Sans"/>
          <w:b w:val="1"/>
          <w:sz w:val="24"/>
          <w:szCs w:val="24"/>
        </w:rPr>
      </w:pPr>
      <w:r w:rsidDel="00000000" w:rsidR="00000000" w:rsidRPr="00000000">
        <w:rPr>
          <w:rFonts w:ascii="Alegreya Sans" w:cs="Alegreya Sans" w:eastAsia="Alegreya Sans" w:hAnsi="Alegreya Sans"/>
          <w:b w:val="1"/>
          <w:sz w:val="24"/>
          <w:szCs w:val="24"/>
          <w:rtl w:val="0"/>
        </w:rPr>
        <w:t xml:space="preserve">2. Internal Policies and Procedures</w:t>
      </w:r>
    </w:p>
    <w:p w:rsidR="00000000" w:rsidDel="00000000" w:rsidP="00000000" w:rsidRDefault="00000000" w:rsidRPr="00000000" w14:paraId="00000009">
      <w:pPr>
        <w:widowControl w:val="0"/>
        <w:spacing w:before="271.2139892578125" w:line="240" w:lineRule="auto"/>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The company will establish and maintain effective internal policies and procedures that specifically address the prevention of money laundering. These will include clear processes for transaction due diligence, customer identification and verification, and suspicious activity reporting.</w:t>
      </w:r>
    </w:p>
    <w:p w:rsidR="00000000" w:rsidDel="00000000" w:rsidP="00000000" w:rsidRDefault="00000000" w:rsidRPr="00000000" w14:paraId="0000000A">
      <w:pPr>
        <w:widowControl w:val="0"/>
        <w:spacing w:before="271.2139892578125" w:line="240" w:lineRule="auto"/>
        <w:jc w:val="both"/>
        <w:rPr>
          <w:rFonts w:ascii="Alegreya Sans" w:cs="Alegreya Sans" w:eastAsia="Alegreya Sans" w:hAnsi="Alegreya Sans"/>
          <w:b w:val="1"/>
          <w:sz w:val="24"/>
          <w:szCs w:val="24"/>
        </w:rPr>
      </w:pPr>
      <w:r w:rsidDel="00000000" w:rsidR="00000000" w:rsidRPr="00000000">
        <w:rPr>
          <w:rFonts w:ascii="Alegreya Sans" w:cs="Alegreya Sans" w:eastAsia="Alegreya Sans" w:hAnsi="Alegreya Sans"/>
          <w:b w:val="1"/>
          <w:sz w:val="24"/>
          <w:szCs w:val="24"/>
          <w:rtl w:val="0"/>
        </w:rPr>
        <w:t xml:space="preserve">3. Training and Awareness</w:t>
      </w:r>
    </w:p>
    <w:p w:rsidR="00000000" w:rsidDel="00000000" w:rsidP="00000000" w:rsidRDefault="00000000" w:rsidRPr="00000000" w14:paraId="0000000B">
      <w:pPr>
        <w:widowControl w:val="0"/>
        <w:spacing w:before="271.2139892578125" w:line="240" w:lineRule="auto"/>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THE COMPANY is committed to providing regular training to its employees, ensuring a solid understanding of the practices and risks related to money laundering. This will include identifying red flags and the importance of complying with established policies.</w:t>
      </w:r>
    </w:p>
    <w:p w:rsidR="00000000" w:rsidDel="00000000" w:rsidP="00000000" w:rsidRDefault="00000000" w:rsidRPr="00000000" w14:paraId="0000000C">
      <w:pPr>
        <w:widowControl w:val="0"/>
        <w:spacing w:before="271.2139892578125" w:line="240" w:lineRule="auto"/>
        <w:ind w:left="0" w:firstLine="0"/>
        <w:jc w:val="both"/>
        <w:rPr>
          <w:rFonts w:ascii="Alegreya Sans" w:cs="Alegreya Sans" w:eastAsia="Alegreya Sans" w:hAnsi="Alegreya Sans"/>
          <w:sz w:val="24"/>
          <w:szCs w:val="24"/>
        </w:rPr>
      </w:pPr>
      <w:r w:rsidDel="00000000" w:rsidR="00000000" w:rsidRPr="00000000">
        <w:rPr>
          <w:rtl w:val="0"/>
        </w:rPr>
      </w:r>
    </w:p>
    <w:p w:rsidR="00000000" w:rsidDel="00000000" w:rsidP="00000000" w:rsidRDefault="00000000" w:rsidRPr="00000000" w14:paraId="0000000D">
      <w:pPr>
        <w:widowControl w:val="0"/>
        <w:spacing w:before="271.81427001953125" w:line="240" w:lineRule="auto"/>
        <w:ind w:left="0" w:firstLine="0"/>
        <w:rPr>
          <w:rFonts w:ascii="Alegreya Sans" w:cs="Alegreya Sans" w:eastAsia="Alegreya Sans" w:hAnsi="Alegreya San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widowControl w:val="0"/>
        <w:spacing w:before="271.81396484375" w:line="239.03549194335938" w:lineRule="auto"/>
        <w:ind w:left="8.170318603515625" w:right="36.82861328125" w:firstLine="0"/>
        <w:jc w:val="both"/>
        <w:rPr>
          <w:rFonts w:ascii="Alegreya Sans" w:cs="Alegreya Sans" w:eastAsia="Alegreya Sans" w:hAnsi="Alegreya Sans"/>
          <w:b w:val="1"/>
          <w:sz w:val="24"/>
          <w:szCs w:val="24"/>
        </w:rPr>
      </w:pPr>
      <w:r w:rsidDel="00000000" w:rsidR="00000000" w:rsidRPr="00000000">
        <w:rPr>
          <w:rFonts w:ascii="Alegreya Sans" w:cs="Alegreya Sans" w:eastAsia="Alegreya Sans" w:hAnsi="Alegreya Sans"/>
          <w:b w:val="1"/>
          <w:sz w:val="24"/>
          <w:szCs w:val="24"/>
          <w:rtl w:val="0"/>
        </w:rPr>
        <w:t xml:space="preserve">4. Collaboration with Authorities and Interested Parties</w:t>
      </w:r>
    </w:p>
    <w:p w:rsidR="00000000" w:rsidDel="00000000" w:rsidP="00000000" w:rsidRDefault="00000000" w:rsidRPr="00000000" w14:paraId="0000000F">
      <w:pPr>
        <w:widowControl w:val="0"/>
        <w:spacing w:before="271.81396484375" w:line="239.03549194335938" w:lineRule="auto"/>
        <w:ind w:left="8.170318603515625" w:right="36.82861328125" w:firstLine="0"/>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THE COMPANY will actively collaborate with the competent authorities and other interested parties in the fight against money laundering. This involves prompt reporting of any suspicious activity and willingness to participate in investigations as necessary.</w:t>
      </w:r>
    </w:p>
    <w:p w:rsidR="00000000" w:rsidDel="00000000" w:rsidP="00000000" w:rsidRDefault="00000000" w:rsidRPr="00000000" w14:paraId="00000010">
      <w:pPr>
        <w:widowControl w:val="0"/>
        <w:spacing w:before="271.81396484375" w:line="239.03549194335938" w:lineRule="auto"/>
        <w:ind w:left="8.170318603515625" w:right="36.82861328125" w:firstLine="0"/>
        <w:jc w:val="both"/>
        <w:rPr>
          <w:rFonts w:ascii="Alegreya Sans" w:cs="Alegreya Sans" w:eastAsia="Alegreya Sans" w:hAnsi="Alegreya Sans"/>
          <w:b w:val="1"/>
          <w:sz w:val="24"/>
          <w:szCs w:val="24"/>
        </w:rPr>
      </w:pPr>
      <w:r w:rsidDel="00000000" w:rsidR="00000000" w:rsidRPr="00000000">
        <w:rPr>
          <w:rFonts w:ascii="Alegreya Sans" w:cs="Alegreya Sans" w:eastAsia="Alegreya Sans" w:hAnsi="Alegreya Sans"/>
          <w:b w:val="1"/>
          <w:sz w:val="24"/>
          <w:szCs w:val="24"/>
          <w:rtl w:val="0"/>
        </w:rPr>
        <w:t xml:space="preserve">5. Continuous Review and Improvement</w:t>
      </w:r>
    </w:p>
    <w:p w:rsidR="00000000" w:rsidDel="00000000" w:rsidP="00000000" w:rsidRDefault="00000000" w:rsidRPr="00000000" w14:paraId="00000011">
      <w:pPr>
        <w:widowControl w:val="0"/>
        <w:spacing w:before="271.81396484375" w:line="239.03549194335938" w:lineRule="auto"/>
        <w:ind w:left="8.170318603515625" w:right="36.82861328125" w:firstLine="0"/>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THE COMPANY undertakes to carry out periodic reviews of its policies and procedures, adjusting them in accordance with changes in legislation, technology and the nature of the threats associated with money laundering. This review will ensure the continued effectiveness of prevention measures.</w:t>
      </w:r>
    </w:p>
    <w:p w:rsidR="00000000" w:rsidDel="00000000" w:rsidP="00000000" w:rsidRDefault="00000000" w:rsidRPr="00000000" w14:paraId="00000012">
      <w:pPr>
        <w:widowControl w:val="0"/>
        <w:spacing w:before="271.81396484375" w:line="239.03549194335938" w:lineRule="auto"/>
        <w:ind w:left="8.170318603515625" w:right="36.82861328125" w:firstLine="0"/>
        <w:jc w:val="both"/>
        <w:rPr>
          <w:rFonts w:ascii="Alegreya Sans" w:cs="Alegreya Sans" w:eastAsia="Alegreya Sans" w:hAnsi="Alegreya Sans"/>
          <w:b w:val="1"/>
          <w:sz w:val="24"/>
          <w:szCs w:val="24"/>
        </w:rPr>
      </w:pPr>
      <w:r w:rsidDel="00000000" w:rsidR="00000000" w:rsidRPr="00000000">
        <w:rPr>
          <w:rFonts w:ascii="Alegreya Sans" w:cs="Alegreya Sans" w:eastAsia="Alegreya Sans" w:hAnsi="Alegreya Sans"/>
          <w:b w:val="1"/>
          <w:sz w:val="24"/>
          <w:szCs w:val="24"/>
          <w:rtl w:val="0"/>
        </w:rPr>
        <w:t xml:space="preserve">6. Accurate Records and Documentation Maintenance</w:t>
      </w:r>
    </w:p>
    <w:p w:rsidR="00000000" w:rsidDel="00000000" w:rsidP="00000000" w:rsidRDefault="00000000" w:rsidRPr="00000000" w14:paraId="00000013">
      <w:pPr>
        <w:widowControl w:val="0"/>
        <w:spacing w:before="271.81396484375" w:line="239.03549194335938" w:lineRule="auto"/>
        <w:ind w:left="8.170318603515625" w:right="36.82861328125" w:firstLine="0"/>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THE COMPANY will maintain accurate and updated records of all transactions and activities susceptible to money laundering prevention measures, ensuring the availability of relevant information at any time that is required by the competent authorities.</w:t>
      </w:r>
    </w:p>
    <w:p w:rsidR="00000000" w:rsidDel="00000000" w:rsidP="00000000" w:rsidRDefault="00000000" w:rsidRPr="00000000" w14:paraId="00000014">
      <w:pPr>
        <w:widowControl w:val="0"/>
        <w:spacing w:before="271.81396484375" w:line="239.03549194335938" w:lineRule="auto"/>
        <w:ind w:left="8.170318603515625" w:right="36.82861328125" w:firstLine="0"/>
        <w:jc w:val="both"/>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This statement reflects THE COMPANY's unwavering commitment to business ethics and active contribution to the prevention and eradication of money laundering. We are committed to meeting the highest compliance standards and to continually review and improve our practices in this area.</w:t>
      </w:r>
    </w:p>
    <w:p w:rsidR="00000000" w:rsidDel="00000000" w:rsidP="00000000" w:rsidRDefault="00000000" w:rsidRPr="00000000" w14:paraId="00000015">
      <w:pPr>
        <w:widowControl w:val="0"/>
        <w:spacing w:before="271.81396484375" w:line="239.03549194335938" w:lineRule="auto"/>
        <w:ind w:left="8.170318603515625" w:right="36.82861328125" w:firstLine="0"/>
        <w:jc w:val="both"/>
        <w:rPr>
          <w:rFonts w:ascii="Alegreya Sans" w:cs="Alegreya Sans" w:eastAsia="Alegreya Sans" w:hAnsi="Alegreya Sans"/>
          <w:b w:val="1"/>
          <w:sz w:val="24"/>
          <w:szCs w:val="24"/>
        </w:rPr>
      </w:pPr>
      <w:r w:rsidDel="00000000" w:rsidR="00000000" w:rsidRPr="00000000">
        <w:rPr>
          <w:rtl w:val="0"/>
        </w:rPr>
      </w:r>
    </w:p>
    <w:p w:rsidR="00000000" w:rsidDel="00000000" w:rsidP="00000000" w:rsidRDefault="00000000" w:rsidRPr="00000000" w14:paraId="00000016">
      <w:pPr>
        <w:widowControl w:val="0"/>
        <w:spacing w:before="271.21337890625" w:line="240" w:lineRule="auto"/>
        <w:ind w:left="17.666015625" w:firstLine="0"/>
        <w:rPr>
          <w:rFonts w:ascii="Alegreya Sans" w:cs="Alegreya Sans" w:eastAsia="Alegreya Sans" w:hAnsi="Alegreya Sans"/>
          <w:sz w:val="24"/>
          <w:szCs w:val="24"/>
        </w:rPr>
      </w:pPr>
      <w:r w:rsidDel="00000000" w:rsidR="00000000" w:rsidRPr="00000000">
        <w:rPr>
          <w:rtl w:val="0"/>
        </w:rPr>
      </w:r>
    </w:p>
    <w:p w:rsidR="00000000" w:rsidDel="00000000" w:rsidP="00000000" w:rsidRDefault="00000000" w:rsidRPr="00000000" w14:paraId="00000017">
      <w:pPr>
        <w:widowControl w:val="0"/>
        <w:spacing w:before="271.21337890625" w:line="240" w:lineRule="auto"/>
        <w:ind w:left="0"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Signed: </w:t>
      </w:r>
    </w:p>
    <w:p w:rsidR="00000000" w:rsidDel="00000000" w:rsidP="00000000" w:rsidRDefault="00000000" w:rsidRPr="00000000" w14:paraId="00000018">
      <w:pPr>
        <w:widowControl w:val="0"/>
        <w:spacing w:before="270.325927734375" w:line="240" w:lineRule="auto"/>
        <w:ind w:left="17.666015625"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Name: ____________________________</w:t>
      </w:r>
    </w:p>
    <w:p w:rsidR="00000000" w:rsidDel="00000000" w:rsidP="00000000" w:rsidRDefault="00000000" w:rsidRPr="00000000" w14:paraId="00000019">
      <w:pPr>
        <w:widowControl w:val="0"/>
        <w:spacing w:before="270.325927734375" w:line="240" w:lineRule="auto"/>
        <w:ind w:left="17.666015625" w:firstLine="0"/>
        <w:rPr>
          <w:rFonts w:ascii="Alegreya Sans" w:cs="Alegreya Sans" w:eastAsia="Alegreya Sans" w:hAnsi="Alegreya Sans"/>
          <w:sz w:val="24"/>
          <w:szCs w:val="24"/>
        </w:rPr>
      </w:pPr>
      <w:r w:rsidDel="00000000" w:rsidR="00000000" w:rsidRPr="00000000">
        <w:rPr>
          <w:rFonts w:ascii="Alegreya Sans" w:cs="Alegreya Sans" w:eastAsia="Alegreya Sans" w:hAnsi="Alegreya Sans"/>
          <w:sz w:val="24"/>
          <w:szCs w:val="24"/>
          <w:rtl w:val="0"/>
        </w:rPr>
        <w:t xml:space="preserve">Position: ____________________________</w:t>
      </w:r>
    </w:p>
    <w:p w:rsidR="00000000" w:rsidDel="00000000" w:rsidP="00000000" w:rsidRDefault="00000000" w:rsidRPr="00000000" w14:paraId="0000001A">
      <w:pPr>
        <w:widowControl w:val="0"/>
        <w:spacing w:before="270.3271484375" w:line="239.10316944122314" w:lineRule="auto"/>
        <w:ind w:left="6.623992919921875" w:right="32.65380859375" w:firstLine="11.0400390625"/>
        <w:jc w:val="both"/>
        <w:rPr>
          <w:rFonts w:ascii="Alegreya Sans" w:cs="Alegreya Sans" w:eastAsia="Alegreya Sans" w:hAnsi="Alegreya Sans"/>
          <w:b w:val="1"/>
          <w:sz w:val="24"/>
          <w:szCs w:val="24"/>
          <w:u w:val="single"/>
        </w:rPr>
      </w:pPr>
      <w:r w:rsidDel="00000000" w:rsidR="00000000" w:rsidRPr="00000000">
        <w:rPr>
          <w:rFonts w:ascii="Alegreya Sans" w:cs="Alegreya Sans" w:eastAsia="Alegreya Sans" w:hAnsi="Alegreya Sans"/>
          <w:sz w:val="24"/>
          <w:szCs w:val="24"/>
          <w:rtl w:val="0"/>
        </w:rPr>
        <w:t xml:space="preserve">[COMPANY]</w:t>
      </w:r>
      <w:r w:rsidDel="00000000" w:rsidR="00000000" w:rsidRPr="00000000">
        <w:rPr>
          <w:rtl w:val="0"/>
        </w:rPr>
      </w:r>
    </w:p>
    <w:sectPr>
      <w:headerReference r:id="rId6" w:type="default"/>
      <w:footerReference r:id="rId7" w:type="default"/>
      <w:pgSz w:h="16834" w:w="11909" w:orient="portrait"/>
      <w:pgMar w:bottom="1700.7874015748032" w:top="3401.5748031496064"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legrey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center"/>
      <w:rPr>
        <w:rFonts w:ascii="Alegreya Sans" w:cs="Alegreya Sans" w:eastAsia="Alegreya Sans" w:hAnsi="Alegreya Sans"/>
        <w:sz w:val="20"/>
        <w:szCs w:val="20"/>
      </w:rPr>
    </w:pPr>
    <w:r w:rsidDel="00000000" w:rsidR="00000000" w:rsidRPr="00000000">
      <w:rPr>
        <w:rFonts w:ascii="Alegreya Sans" w:cs="Alegreya Sans" w:eastAsia="Alegreya Sans" w:hAnsi="Alegreya Sans"/>
        <w:sz w:val="20"/>
        <w:szCs w:val="20"/>
        <w:rtl w:val="0"/>
      </w:rPr>
      <w:t xml:space="preserve">ENERDEALERS, SL - Carretera de Fuencarral 44 28108 MADRID - SPAIN</w:t>
    </w:r>
  </w:p>
  <w:p w:rsidR="00000000" w:rsidDel="00000000" w:rsidP="00000000" w:rsidRDefault="00000000" w:rsidRPr="00000000" w14:paraId="0000001D">
    <w:pPr>
      <w:jc w:val="center"/>
      <w:rPr>
        <w:rFonts w:ascii="Alegreya Sans" w:cs="Alegreya Sans" w:eastAsia="Alegreya Sans" w:hAnsi="Alegreya Sans"/>
        <w:sz w:val="20"/>
        <w:szCs w:val="20"/>
      </w:rPr>
    </w:pPr>
    <w:r w:rsidDel="00000000" w:rsidR="00000000" w:rsidRPr="00000000">
      <w:rPr>
        <w:rFonts w:ascii="Alegreya Sans" w:cs="Alegreya Sans" w:eastAsia="Alegreya Sans" w:hAnsi="Alegreya Sans"/>
        <w:sz w:val="20"/>
        <w:szCs w:val="20"/>
        <w:rtl w:val="0"/>
      </w:rPr>
      <w:t xml:space="preserve">www.enerdealers.com · info@enerdealers.com</w:t>
    </w:r>
  </w:p>
  <w:p w:rsidR="00000000" w:rsidDel="00000000" w:rsidP="00000000" w:rsidRDefault="00000000" w:rsidRPr="00000000" w14:paraId="0000001E">
    <w:pPr>
      <w:jc w:val="center"/>
      <w:rPr>
        <w:rFonts w:ascii="Alegreya Sans" w:cs="Alegreya Sans" w:eastAsia="Alegreya Sans" w:hAnsi="Alegreya Sans"/>
        <w:sz w:val="20"/>
        <w:szCs w:val="20"/>
      </w:rPr>
    </w:pPr>
    <w:r w:rsidDel="00000000" w:rsidR="00000000" w:rsidRPr="00000000">
      <w:rPr>
        <w:rFonts w:ascii="Alegreya Sans" w:cs="Alegreya Sans" w:eastAsia="Alegreya Sans" w:hAnsi="Alegreya Sans"/>
        <w:sz w:val="20"/>
        <w:szCs w:val="20"/>
        <w:rtl w:val="0"/>
      </w:rPr>
      <w:t xml:space="preserve">Pg. </w:t>
    </w:r>
    <w:r w:rsidDel="00000000" w:rsidR="00000000" w:rsidRPr="00000000">
      <w:rPr>
        <w:rFonts w:ascii="Alegreya Sans" w:cs="Alegreya Sans" w:eastAsia="Alegreya Sans" w:hAnsi="Alegreya Sans"/>
        <w:sz w:val="20"/>
        <w:szCs w:val="20"/>
      </w:rPr>
      <w:fldChar w:fldCharType="begin"/>
      <w:instrText xml:space="preserve">PAGE</w:instrText>
      <w:fldChar w:fldCharType="separate"/>
      <w:fldChar w:fldCharType="end"/>
    </w:r>
    <w:r w:rsidDel="00000000" w:rsidR="00000000" w:rsidRPr="00000000">
      <w:rPr>
        <w:rFonts w:ascii="Alegreya Sans" w:cs="Alegreya Sans" w:eastAsia="Alegreya Sans" w:hAnsi="Alegreya Sans"/>
        <w:sz w:val="20"/>
        <w:szCs w:val="20"/>
        <w:rtl w:val="0"/>
      </w:rPr>
      <w:t xml:space="preserve"> of </w:t>
    </w:r>
    <w:r w:rsidDel="00000000" w:rsidR="00000000" w:rsidRPr="00000000">
      <w:rPr>
        <w:rFonts w:ascii="Alegreya Sans" w:cs="Alegreya Sans" w:eastAsia="Alegreya Sans" w:hAnsi="Alegreya Sans"/>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ind w:left="-425.19685039370086" w:firstLine="0"/>
      <w:rPr/>
    </w:pPr>
    <w:r w:rsidDel="00000000" w:rsidR="00000000" w:rsidRPr="00000000">
      <w:rPr/>
      <w:drawing>
        <wp:inline distB="114300" distT="114300" distL="114300" distR="114300">
          <wp:extent cx="1920997" cy="10525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0997" cy="1052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legreyaSans-regular.ttf"/><Relationship Id="rId2" Type="http://schemas.openxmlformats.org/officeDocument/2006/relationships/font" Target="fonts/AlegreyaSans-bold.ttf"/><Relationship Id="rId3" Type="http://schemas.openxmlformats.org/officeDocument/2006/relationships/font" Target="fonts/AlegreyaSans-italic.ttf"/><Relationship Id="rId4" Type="http://schemas.openxmlformats.org/officeDocument/2006/relationships/font" Target="fonts/Alegreya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